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A92692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A92692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 of material fact/Disclosure of insider information </w:t>
        <w:br/>
        <w:t xml:space="preserve"> "On Convening a meeting of the Board of Directors of IDGC of the South, and its agenda»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 xml:space="preserve">The addresses of the  </w:t>
            </w:r>
            <w:bookmarkStart w:id="0" w:name="_GoBack"/>
            <w:bookmarkEnd w:id="0"/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Internet pages used by the Issuer for information disclosure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3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  <w:p w:rsidR="004616CB" w:rsidRPr="004616CB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6CB">
              <w:rPr>
                <w:rFonts w:ascii="Times New Roman" w:eastAsia="Times New Roman" w:hAnsi="Times New Roman" w:cs="Times New Roman"/>
                <w:b/>
                <w:rtl w:val="0"/>
                <w:lang w:val="en-US"/>
              </w:rPr>
              <w:t>"On Convening a board meeting of IDGC of the South, PJSC and its agenda»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92" w:rsidRPr="00A92692" w:rsidP="00A92692">
            <w:pPr>
              <w:widowControl/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92692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 xml:space="preserve">Date of resolution by the Chairman of the Board of Directors of the Issuer of the decision to convene the meeting of the Issuer's Board of Directors: </w:t>
            </w:r>
            <w:r w:rsidRPr="00A92692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December 28, 2017.</w:t>
            </w:r>
          </w:p>
          <w:p w:rsidR="00A92692" w:rsidRPr="00A92692" w:rsidP="00A92692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92692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 xml:space="preserve">Date of the meeting of the Issuer’s Board of Directors:  </w:t>
            </w:r>
            <w:r w:rsidRPr="00A92692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December 28, 2017.</w:t>
            </w:r>
          </w:p>
          <w:p w:rsidR="00A92692" w:rsidRPr="00A92692" w:rsidP="00A92692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92692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 xml:space="preserve">Agenda of the meeting of the Issuer’s Board of Directors: </w:t>
            </w:r>
          </w:p>
          <w:p w:rsidR="00EB2291" w:rsidRPr="00A92692" w:rsidP="00A92692">
            <w:pPr>
              <w:widowControl/>
              <w:bidi w:val="0"/>
              <w:ind w:left="57" w:right="57" w:firstLine="638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92692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1.</w:t>
              <w:tab/>
              <w:t>Consent to the execution of the transaction, in the commission of which there is interest.</w:t>
            </w:r>
          </w:p>
          <w:p w:rsidR="00527BAF" w:rsidRPr="00527BAF" w:rsidP="00527BAF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4616CB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Department head – </w:t>
              <w:br/>
              <w:t xml:space="preserve">Company secretary </w:t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A92692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28 July 2017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2708E1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3</cp:revision>
  <dcterms:created xsi:type="dcterms:W3CDTF">2018-03-14T09:36:00Z</dcterms:created>
  <dcterms:modified xsi:type="dcterms:W3CDTF">2018-03-14T09:37:00Z</dcterms:modified>
</cp:coreProperties>
</file>